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hint="eastAsia" w:ascii="仿宋" w:hAnsi="仿宋" w:eastAsia="仿宋" w:cs="仿宋"/>
          <w:sz w:val="48"/>
          <w:szCs w:val="48"/>
          <w:lang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810吨碎壳豆皮采购</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954" w:firstLineChars="300"/>
        <w:jc w:val="both"/>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QJKJ-CG-SDP-20260130</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8"/>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采购名称</w:t>
            </w:r>
          </w:p>
        </w:tc>
        <w:tc>
          <w:tcPr>
            <w:tcW w:w="6824" w:type="dxa"/>
            <w:vAlign w:val="center"/>
          </w:tcPr>
          <w:p w14:paraId="41598F1C">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810吨碎壳豆皮采购</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810吨碎壳豆皮采购</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w:t>
            </w:r>
            <w:r>
              <w:rPr>
                <w:rFonts w:hint="eastAsia" w:ascii="仿宋" w:hAnsi="仿宋" w:eastAsia="仿宋" w:cs="仿宋"/>
                <w:sz w:val="24"/>
                <w:szCs w:val="24"/>
                <w:vertAlign w:val="baseline"/>
                <w:lang w:eastAsia="zh-CN"/>
              </w:rPr>
              <w:t>采购</w:t>
            </w:r>
            <w:r>
              <w:rPr>
                <w:rFonts w:ascii="仿宋" w:hAnsi="仿宋" w:eastAsia="仿宋" w:cs="仿宋"/>
                <w:sz w:val="24"/>
                <w:szCs w:val="24"/>
                <w:vertAlign w:val="baseline"/>
              </w:rPr>
              <w:t>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 xml:space="preserve">3 0 </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10"/>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按照各自账期进行报价</w:t>
            </w:r>
            <w:bookmarkStart w:id="0" w:name="_GoBack"/>
            <w:bookmarkEnd w:id="0"/>
            <w:r>
              <w:rPr>
                <w:rFonts w:hint="eastAsia" w:ascii="仿宋" w:hAnsi="仿宋" w:eastAsia="仿宋" w:cs="仿宋"/>
                <w:sz w:val="24"/>
                <w:szCs w:val="24"/>
                <w:vertAlign w:val="baseline"/>
                <w:lang w:val="en-US" w:eastAsia="zh-CN"/>
              </w:rPr>
              <w:t>（到货验收合格入库，发票挂帐日期为准开始计算账期）</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703EC56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64C79871">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221075AC">
      <w:pPr>
        <w:pStyle w:val="3"/>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B526BB2">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7"/>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08BB8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7284F9B7">
            <w:pPr>
              <w:pStyle w:val="12"/>
              <w:rPr>
                <w:color w:val="auto"/>
                <w:sz w:val="18"/>
              </w:rPr>
            </w:pPr>
          </w:p>
          <w:p w14:paraId="5FDC052B">
            <w:pPr>
              <w:pStyle w:val="12"/>
              <w:spacing w:before="128"/>
              <w:ind w:left="2080" w:right="2053"/>
              <w:jc w:val="center"/>
              <w:rPr>
                <w:b/>
                <w:color w:val="auto"/>
                <w:sz w:val="18"/>
              </w:rPr>
            </w:pPr>
            <w:r>
              <w:rPr>
                <w:b/>
                <w:color w:val="auto"/>
                <w:sz w:val="18"/>
              </w:rPr>
              <w:t>项 目</w:t>
            </w:r>
          </w:p>
        </w:tc>
        <w:tc>
          <w:tcPr>
            <w:tcW w:w="2157" w:type="dxa"/>
            <w:noWrap w:val="0"/>
            <w:vAlign w:val="top"/>
          </w:tcPr>
          <w:p w14:paraId="61B8CF66">
            <w:pPr>
              <w:pStyle w:val="12"/>
              <w:spacing w:before="119"/>
              <w:ind w:left="693"/>
              <w:rPr>
                <w:b/>
                <w:color w:val="auto"/>
                <w:sz w:val="18"/>
              </w:rPr>
            </w:pPr>
            <w:r>
              <w:rPr>
                <w:b/>
                <w:color w:val="auto"/>
                <w:sz w:val="18"/>
              </w:rPr>
              <w:t>标准值</w:t>
            </w:r>
          </w:p>
        </w:tc>
        <w:tc>
          <w:tcPr>
            <w:tcW w:w="1264" w:type="dxa"/>
            <w:vMerge w:val="restart"/>
            <w:noWrap w:val="0"/>
            <w:vAlign w:val="top"/>
          </w:tcPr>
          <w:p w14:paraId="5FAA7BD4">
            <w:pPr>
              <w:pStyle w:val="12"/>
              <w:rPr>
                <w:color w:val="auto"/>
                <w:sz w:val="18"/>
              </w:rPr>
            </w:pPr>
          </w:p>
          <w:p w14:paraId="012FB86A">
            <w:pPr>
              <w:pStyle w:val="12"/>
              <w:spacing w:before="128"/>
              <w:ind w:left="400"/>
              <w:rPr>
                <w:b/>
                <w:color w:val="auto"/>
                <w:sz w:val="18"/>
              </w:rPr>
            </w:pPr>
            <w:r>
              <w:rPr>
                <w:b/>
                <w:color w:val="auto"/>
                <w:sz w:val="18"/>
              </w:rPr>
              <w:t>退货值</w:t>
            </w:r>
          </w:p>
        </w:tc>
        <w:tc>
          <w:tcPr>
            <w:tcW w:w="902" w:type="dxa"/>
            <w:vMerge w:val="restart"/>
            <w:noWrap w:val="0"/>
            <w:vAlign w:val="top"/>
          </w:tcPr>
          <w:p w14:paraId="6A984F2C">
            <w:pPr>
              <w:pStyle w:val="12"/>
              <w:rPr>
                <w:color w:val="auto"/>
                <w:sz w:val="18"/>
              </w:rPr>
            </w:pPr>
          </w:p>
          <w:p w14:paraId="20E5FC32">
            <w:pPr>
              <w:pStyle w:val="12"/>
              <w:spacing w:before="128"/>
              <w:ind w:left="128"/>
              <w:rPr>
                <w:b/>
                <w:color w:val="auto"/>
                <w:sz w:val="18"/>
              </w:rPr>
            </w:pPr>
            <w:r>
              <w:rPr>
                <w:b/>
                <w:color w:val="auto"/>
                <w:sz w:val="18"/>
              </w:rPr>
              <w:t>检测要求</w:t>
            </w:r>
          </w:p>
        </w:tc>
      </w:tr>
      <w:tr w14:paraId="49A01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3035401E">
            <w:pPr>
              <w:rPr>
                <w:color w:val="auto"/>
                <w:sz w:val="2"/>
                <w:szCs w:val="2"/>
              </w:rPr>
            </w:pPr>
          </w:p>
        </w:tc>
        <w:tc>
          <w:tcPr>
            <w:tcW w:w="2157" w:type="dxa"/>
            <w:noWrap w:val="0"/>
            <w:vAlign w:val="top"/>
          </w:tcPr>
          <w:p w14:paraId="36857C5E">
            <w:pPr>
              <w:pStyle w:val="12"/>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22ADAFF8">
            <w:pPr>
              <w:rPr>
                <w:color w:val="auto"/>
                <w:sz w:val="2"/>
                <w:szCs w:val="2"/>
              </w:rPr>
            </w:pPr>
          </w:p>
        </w:tc>
        <w:tc>
          <w:tcPr>
            <w:tcW w:w="902" w:type="dxa"/>
            <w:vMerge w:val="continue"/>
            <w:tcBorders>
              <w:top w:val="nil"/>
            </w:tcBorders>
            <w:noWrap w:val="0"/>
            <w:vAlign w:val="top"/>
          </w:tcPr>
          <w:p w14:paraId="1A641DBF">
            <w:pPr>
              <w:rPr>
                <w:color w:val="auto"/>
                <w:sz w:val="2"/>
                <w:szCs w:val="2"/>
              </w:rPr>
            </w:pPr>
          </w:p>
        </w:tc>
      </w:tr>
      <w:tr w14:paraId="5A9C9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7B6B5A0A">
            <w:pPr>
              <w:pStyle w:val="12"/>
              <w:rPr>
                <w:color w:val="auto"/>
                <w:sz w:val="18"/>
              </w:rPr>
            </w:pPr>
          </w:p>
          <w:p w14:paraId="41BF5D8F">
            <w:pPr>
              <w:pStyle w:val="12"/>
              <w:rPr>
                <w:color w:val="auto"/>
                <w:sz w:val="18"/>
              </w:rPr>
            </w:pPr>
          </w:p>
          <w:p w14:paraId="5BCBEC59">
            <w:pPr>
              <w:pStyle w:val="12"/>
              <w:spacing w:before="137"/>
              <w:ind w:left="226"/>
              <w:rPr>
                <w:color w:val="auto"/>
                <w:sz w:val="18"/>
              </w:rPr>
            </w:pPr>
            <w:r>
              <w:rPr>
                <w:color w:val="auto"/>
                <w:sz w:val="18"/>
              </w:rPr>
              <w:t>风险指标</w:t>
            </w:r>
          </w:p>
        </w:tc>
        <w:tc>
          <w:tcPr>
            <w:tcW w:w="3470" w:type="dxa"/>
            <w:noWrap w:val="0"/>
            <w:vAlign w:val="top"/>
          </w:tcPr>
          <w:p w14:paraId="115FDD0F">
            <w:pPr>
              <w:pStyle w:val="12"/>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297976B3">
            <w:pPr>
              <w:pStyle w:val="12"/>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3DA1F8D8">
            <w:pPr>
              <w:pStyle w:val="12"/>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0F86EB2C">
            <w:pPr>
              <w:pStyle w:val="12"/>
              <w:spacing w:before="118"/>
              <w:ind w:left="255"/>
              <w:rPr>
                <w:color w:val="auto"/>
                <w:sz w:val="18"/>
              </w:rPr>
            </w:pPr>
            <w:r>
              <w:rPr>
                <w:color w:val="auto"/>
                <w:sz w:val="18"/>
              </w:rPr>
              <w:t>抽检</w:t>
            </w:r>
          </w:p>
        </w:tc>
      </w:tr>
      <w:tr w14:paraId="3BBC5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65DB2197">
            <w:pPr>
              <w:rPr>
                <w:color w:val="auto"/>
                <w:sz w:val="2"/>
                <w:szCs w:val="2"/>
              </w:rPr>
            </w:pPr>
          </w:p>
        </w:tc>
        <w:tc>
          <w:tcPr>
            <w:tcW w:w="3470" w:type="dxa"/>
            <w:noWrap w:val="0"/>
            <w:vAlign w:val="top"/>
          </w:tcPr>
          <w:p w14:paraId="298C7D18">
            <w:pPr>
              <w:pStyle w:val="12"/>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520DD45C">
            <w:pPr>
              <w:pStyle w:val="12"/>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2B3F66BD">
            <w:pPr>
              <w:pStyle w:val="12"/>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649DCB96">
            <w:pPr>
              <w:pStyle w:val="12"/>
              <w:spacing w:before="119"/>
              <w:ind w:left="255"/>
              <w:rPr>
                <w:color w:val="auto"/>
                <w:sz w:val="18"/>
              </w:rPr>
            </w:pPr>
            <w:r>
              <w:rPr>
                <w:color w:val="auto"/>
                <w:sz w:val="18"/>
              </w:rPr>
              <w:t>必检</w:t>
            </w:r>
          </w:p>
        </w:tc>
      </w:tr>
      <w:tr w14:paraId="28562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9E4F34C">
            <w:pPr>
              <w:rPr>
                <w:color w:val="auto"/>
                <w:sz w:val="2"/>
                <w:szCs w:val="2"/>
              </w:rPr>
            </w:pPr>
          </w:p>
        </w:tc>
        <w:tc>
          <w:tcPr>
            <w:tcW w:w="3470" w:type="dxa"/>
            <w:noWrap w:val="0"/>
            <w:vAlign w:val="top"/>
          </w:tcPr>
          <w:p w14:paraId="18D4397D">
            <w:pPr>
              <w:pStyle w:val="12"/>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6F5AB799">
            <w:pPr>
              <w:pStyle w:val="12"/>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593E719">
            <w:pPr>
              <w:pStyle w:val="12"/>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52BBCF0E">
            <w:pPr>
              <w:pStyle w:val="12"/>
              <w:spacing w:before="120"/>
              <w:ind w:left="255"/>
              <w:rPr>
                <w:color w:val="auto"/>
                <w:sz w:val="18"/>
              </w:rPr>
            </w:pPr>
            <w:r>
              <w:rPr>
                <w:color w:val="auto"/>
                <w:sz w:val="18"/>
              </w:rPr>
              <w:t>抽检</w:t>
            </w:r>
          </w:p>
        </w:tc>
      </w:tr>
      <w:tr w14:paraId="76C79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1218F130">
            <w:pPr>
              <w:pStyle w:val="12"/>
              <w:rPr>
                <w:color w:val="auto"/>
                <w:sz w:val="18"/>
              </w:rPr>
            </w:pPr>
          </w:p>
          <w:p w14:paraId="4D9FAC00">
            <w:pPr>
              <w:pStyle w:val="12"/>
              <w:rPr>
                <w:color w:val="auto"/>
                <w:sz w:val="18"/>
              </w:rPr>
            </w:pPr>
          </w:p>
          <w:p w14:paraId="56B53ACB">
            <w:pPr>
              <w:pStyle w:val="12"/>
              <w:rPr>
                <w:color w:val="auto"/>
                <w:sz w:val="18"/>
              </w:rPr>
            </w:pPr>
          </w:p>
          <w:p w14:paraId="2152870D">
            <w:pPr>
              <w:pStyle w:val="12"/>
              <w:rPr>
                <w:color w:val="auto"/>
                <w:sz w:val="18"/>
              </w:rPr>
            </w:pPr>
          </w:p>
          <w:p w14:paraId="3510039E">
            <w:pPr>
              <w:pStyle w:val="12"/>
              <w:rPr>
                <w:color w:val="auto"/>
                <w:sz w:val="18"/>
              </w:rPr>
            </w:pPr>
          </w:p>
          <w:p w14:paraId="2ECD5C3A">
            <w:pPr>
              <w:pStyle w:val="12"/>
              <w:spacing w:before="11"/>
              <w:rPr>
                <w:color w:val="auto"/>
                <w:sz w:val="15"/>
              </w:rPr>
            </w:pPr>
          </w:p>
          <w:p w14:paraId="0BDB6FA8">
            <w:pPr>
              <w:pStyle w:val="12"/>
              <w:ind w:left="178"/>
              <w:rPr>
                <w:color w:val="auto"/>
                <w:sz w:val="18"/>
              </w:rPr>
            </w:pPr>
            <w:r>
              <w:rPr>
                <w:color w:val="auto"/>
                <w:sz w:val="18"/>
              </w:rPr>
              <w:t>理化指标</w:t>
            </w:r>
          </w:p>
        </w:tc>
        <w:tc>
          <w:tcPr>
            <w:tcW w:w="3470" w:type="dxa"/>
            <w:noWrap w:val="0"/>
            <w:vAlign w:val="top"/>
          </w:tcPr>
          <w:p w14:paraId="45161EBB">
            <w:pPr>
              <w:pStyle w:val="12"/>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6FBDF561">
            <w:pPr>
              <w:pStyle w:val="12"/>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56E58219">
            <w:pPr>
              <w:pStyle w:val="12"/>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4174BF88">
            <w:pPr>
              <w:pStyle w:val="12"/>
              <w:spacing w:before="118"/>
              <w:ind w:left="255"/>
              <w:rPr>
                <w:color w:val="auto"/>
                <w:sz w:val="18"/>
              </w:rPr>
            </w:pPr>
            <w:r>
              <w:rPr>
                <w:color w:val="auto"/>
                <w:sz w:val="18"/>
              </w:rPr>
              <w:t>必检</w:t>
            </w:r>
          </w:p>
        </w:tc>
      </w:tr>
      <w:tr w14:paraId="07D6B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623EA486">
            <w:pPr>
              <w:rPr>
                <w:color w:val="auto"/>
                <w:sz w:val="2"/>
                <w:szCs w:val="2"/>
              </w:rPr>
            </w:pPr>
          </w:p>
        </w:tc>
        <w:tc>
          <w:tcPr>
            <w:tcW w:w="3470" w:type="dxa"/>
            <w:noWrap w:val="0"/>
            <w:vAlign w:val="top"/>
          </w:tcPr>
          <w:p w14:paraId="426C3B45">
            <w:pPr>
              <w:pStyle w:val="12"/>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20427597">
            <w:pPr>
              <w:pStyle w:val="12"/>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20E1D4D8">
            <w:pPr>
              <w:pStyle w:val="12"/>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602F18A1">
            <w:pPr>
              <w:pStyle w:val="12"/>
              <w:spacing w:before="120"/>
              <w:ind w:left="255"/>
              <w:rPr>
                <w:color w:val="auto"/>
                <w:sz w:val="18"/>
              </w:rPr>
            </w:pPr>
            <w:r>
              <w:rPr>
                <w:color w:val="auto"/>
                <w:sz w:val="18"/>
              </w:rPr>
              <w:t>必检</w:t>
            </w:r>
          </w:p>
        </w:tc>
      </w:tr>
      <w:tr w14:paraId="2CCAA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599DFA13">
            <w:pPr>
              <w:rPr>
                <w:color w:val="auto"/>
                <w:sz w:val="2"/>
                <w:szCs w:val="2"/>
              </w:rPr>
            </w:pPr>
          </w:p>
        </w:tc>
        <w:tc>
          <w:tcPr>
            <w:tcW w:w="3470" w:type="dxa"/>
            <w:noWrap w:val="0"/>
            <w:vAlign w:val="top"/>
          </w:tcPr>
          <w:p w14:paraId="54C5A8A6">
            <w:pPr>
              <w:pStyle w:val="12"/>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1CDE2829">
            <w:pPr>
              <w:pStyle w:val="12"/>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58D90946">
            <w:pPr>
              <w:pStyle w:val="12"/>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38D03F84">
            <w:pPr>
              <w:pStyle w:val="12"/>
              <w:spacing w:before="120"/>
              <w:ind w:left="255"/>
              <w:rPr>
                <w:color w:val="auto"/>
                <w:sz w:val="18"/>
              </w:rPr>
            </w:pPr>
            <w:r>
              <w:rPr>
                <w:color w:val="auto"/>
                <w:sz w:val="18"/>
              </w:rPr>
              <w:t>必检</w:t>
            </w:r>
          </w:p>
        </w:tc>
      </w:tr>
      <w:tr w14:paraId="46374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DA5DB5D">
            <w:pPr>
              <w:rPr>
                <w:color w:val="auto"/>
                <w:sz w:val="2"/>
                <w:szCs w:val="2"/>
              </w:rPr>
            </w:pPr>
          </w:p>
        </w:tc>
        <w:tc>
          <w:tcPr>
            <w:tcW w:w="3470" w:type="dxa"/>
            <w:noWrap w:val="0"/>
            <w:vAlign w:val="top"/>
          </w:tcPr>
          <w:p w14:paraId="3B05FEDA">
            <w:pPr>
              <w:pStyle w:val="12"/>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1B088503">
            <w:pPr>
              <w:pStyle w:val="12"/>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24002A6B">
            <w:pPr>
              <w:pStyle w:val="12"/>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34F9CDFC">
            <w:pPr>
              <w:pStyle w:val="12"/>
              <w:spacing w:before="119"/>
              <w:ind w:left="255"/>
              <w:rPr>
                <w:color w:val="auto"/>
                <w:sz w:val="18"/>
              </w:rPr>
            </w:pPr>
            <w:r>
              <w:rPr>
                <w:color w:val="auto"/>
                <w:sz w:val="18"/>
              </w:rPr>
              <w:t>抽检</w:t>
            </w:r>
          </w:p>
        </w:tc>
      </w:tr>
      <w:tr w14:paraId="2EFD1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253451F">
            <w:pPr>
              <w:rPr>
                <w:color w:val="auto"/>
                <w:sz w:val="2"/>
                <w:szCs w:val="2"/>
              </w:rPr>
            </w:pPr>
          </w:p>
        </w:tc>
        <w:tc>
          <w:tcPr>
            <w:tcW w:w="3470" w:type="dxa"/>
            <w:noWrap w:val="0"/>
            <w:vAlign w:val="top"/>
          </w:tcPr>
          <w:p w14:paraId="529AAD2E">
            <w:pPr>
              <w:pStyle w:val="12"/>
              <w:spacing w:before="121"/>
              <w:ind w:left="1535" w:right="1522"/>
              <w:jc w:val="center"/>
              <w:rPr>
                <w:b/>
                <w:color w:val="auto"/>
                <w:sz w:val="18"/>
              </w:rPr>
            </w:pPr>
            <w:r>
              <w:rPr>
                <w:b/>
                <w:color w:val="auto"/>
                <w:sz w:val="18"/>
              </w:rPr>
              <w:t>项目</w:t>
            </w:r>
          </w:p>
        </w:tc>
        <w:tc>
          <w:tcPr>
            <w:tcW w:w="2157" w:type="dxa"/>
            <w:noWrap w:val="0"/>
            <w:vAlign w:val="top"/>
          </w:tcPr>
          <w:p w14:paraId="38A89237">
            <w:pPr>
              <w:pStyle w:val="12"/>
              <w:spacing w:before="121"/>
              <w:ind w:left="696" w:right="680"/>
              <w:jc w:val="center"/>
              <w:rPr>
                <w:b/>
                <w:color w:val="auto"/>
                <w:sz w:val="18"/>
              </w:rPr>
            </w:pPr>
            <w:r>
              <w:rPr>
                <w:b/>
                <w:color w:val="auto"/>
                <w:sz w:val="18"/>
              </w:rPr>
              <w:t>方法</w:t>
            </w:r>
          </w:p>
        </w:tc>
        <w:tc>
          <w:tcPr>
            <w:tcW w:w="1264" w:type="dxa"/>
            <w:noWrap w:val="0"/>
            <w:vAlign w:val="top"/>
          </w:tcPr>
          <w:p w14:paraId="05D6EACD">
            <w:pPr>
              <w:pStyle w:val="12"/>
              <w:spacing w:before="121"/>
              <w:ind w:left="247"/>
              <w:rPr>
                <w:b/>
                <w:color w:val="auto"/>
                <w:sz w:val="18"/>
              </w:rPr>
            </w:pPr>
            <w:r>
              <w:rPr>
                <w:b/>
                <w:color w:val="auto"/>
                <w:sz w:val="18"/>
              </w:rPr>
              <w:t>退货值</w:t>
            </w:r>
          </w:p>
        </w:tc>
        <w:tc>
          <w:tcPr>
            <w:tcW w:w="902" w:type="dxa"/>
            <w:noWrap w:val="0"/>
            <w:vAlign w:val="top"/>
          </w:tcPr>
          <w:p w14:paraId="031065AA">
            <w:pPr>
              <w:pStyle w:val="12"/>
              <w:spacing w:before="121"/>
              <w:ind w:left="5"/>
              <w:rPr>
                <w:b/>
                <w:color w:val="auto"/>
                <w:sz w:val="18"/>
              </w:rPr>
            </w:pPr>
            <w:r>
              <w:rPr>
                <w:b/>
                <w:color w:val="auto"/>
                <w:sz w:val="18"/>
              </w:rPr>
              <w:t>检测要求</w:t>
            </w:r>
          </w:p>
        </w:tc>
      </w:tr>
      <w:tr w14:paraId="325D3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48A9B98A">
            <w:pPr>
              <w:rPr>
                <w:color w:val="auto"/>
                <w:sz w:val="2"/>
                <w:szCs w:val="2"/>
              </w:rPr>
            </w:pPr>
          </w:p>
        </w:tc>
        <w:tc>
          <w:tcPr>
            <w:tcW w:w="3470" w:type="dxa"/>
            <w:vMerge w:val="restart"/>
            <w:noWrap w:val="0"/>
            <w:vAlign w:val="top"/>
          </w:tcPr>
          <w:p w14:paraId="1B8D9B93">
            <w:pPr>
              <w:pStyle w:val="12"/>
              <w:spacing w:before="120"/>
              <w:ind w:left="111"/>
              <w:rPr>
                <w:color w:val="auto"/>
                <w:sz w:val="18"/>
              </w:rPr>
            </w:pPr>
            <w:r>
              <w:rPr>
                <w:color w:val="auto"/>
                <w:sz w:val="18"/>
              </w:rPr>
              <w:t>掺假检测（定性）</w:t>
            </w:r>
          </w:p>
        </w:tc>
        <w:tc>
          <w:tcPr>
            <w:tcW w:w="2157" w:type="dxa"/>
            <w:noWrap w:val="0"/>
            <w:vAlign w:val="top"/>
          </w:tcPr>
          <w:p w14:paraId="351C0BC6">
            <w:pPr>
              <w:pStyle w:val="12"/>
              <w:spacing w:before="120"/>
              <w:ind w:left="689" w:right="864"/>
              <w:jc w:val="center"/>
              <w:rPr>
                <w:color w:val="auto"/>
                <w:sz w:val="18"/>
              </w:rPr>
            </w:pPr>
            <w:r>
              <w:rPr>
                <w:color w:val="auto"/>
                <w:sz w:val="18"/>
              </w:rPr>
              <w:t>镜检</w:t>
            </w:r>
          </w:p>
        </w:tc>
        <w:tc>
          <w:tcPr>
            <w:tcW w:w="1264" w:type="dxa"/>
            <w:noWrap w:val="0"/>
            <w:vAlign w:val="top"/>
          </w:tcPr>
          <w:p w14:paraId="3065777F">
            <w:pPr>
              <w:pStyle w:val="12"/>
              <w:spacing w:before="120"/>
              <w:ind w:left="12"/>
              <w:jc w:val="center"/>
              <w:rPr>
                <w:color w:val="auto"/>
                <w:sz w:val="18"/>
              </w:rPr>
            </w:pPr>
            <w:r>
              <w:rPr>
                <w:color w:val="auto"/>
                <w:sz w:val="18"/>
              </w:rPr>
              <w:t>-</w:t>
            </w:r>
          </w:p>
        </w:tc>
        <w:tc>
          <w:tcPr>
            <w:tcW w:w="902" w:type="dxa"/>
            <w:noWrap w:val="0"/>
            <w:vAlign w:val="top"/>
          </w:tcPr>
          <w:p w14:paraId="6D6B28D6">
            <w:pPr>
              <w:pStyle w:val="12"/>
              <w:spacing w:before="120"/>
              <w:ind w:left="279"/>
              <w:rPr>
                <w:color w:val="auto"/>
                <w:sz w:val="18"/>
              </w:rPr>
            </w:pPr>
            <w:r>
              <w:rPr>
                <w:color w:val="auto"/>
                <w:sz w:val="18"/>
              </w:rPr>
              <w:t>必检</w:t>
            </w:r>
          </w:p>
        </w:tc>
      </w:tr>
      <w:tr w14:paraId="3944B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79A86224">
            <w:pPr>
              <w:rPr>
                <w:color w:val="auto"/>
                <w:sz w:val="2"/>
                <w:szCs w:val="2"/>
              </w:rPr>
            </w:pPr>
          </w:p>
        </w:tc>
        <w:tc>
          <w:tcPr>
            <w:tcW w:w="3470" w:type="dxa"/>
            <w:vMerge w:val="continue"/>
            <w:tcBorders>
              <w:top w:val="nil"/>
            </w:tcBorders>
            <w:noWrap w:val="0"/>
            <w:vAlign w:val="top"/>
          </w:tcPr>
          <w:p w14:paraId="749AA995">
            <w:pPr>
              <w:rPr>
                <w:color w:val="auto"/>
                <w:sz w:val="2"/>
                <w:szCs w:val="2"/>
              </w:rPr>
            </w:pPr>
          </w:p>
        </w:tc>
        <w:tc>
          <w:tcPr>
            <w:tcW w:w="2157" w:type="dxa"/>
            <w:noWrap w:val="0"/>
            <w:vAlign w:val="top"/>
          </w:tcPr>
          <w:p w14:paraId="1CF57D06">
            <w:pPr>
              <w:pStyle w:val="12"/>
              <w:spacing w:before="119"/>
              <w:ind w:left="689" w:right="864"/>
              <w:jc w:val="center"/>
              <w:rPr>
                <w:color w:val="auto"/>
                <w:sz w:val="18"/>
              </w:rPr>
            </w:pPr>
            <w:r>
              <w:rPr>
                <w:color w:val="auto"/>
                <w:sz w:val="18"/>
              </w:rPr>
              <w:t>水浸法</w:t>
            </w:r>
          </w:p>
        </w:tc>
        <w:tc>
          <w:tcPr>
            <w:tcW w:w="1264" w:type="dxa"/>
            <w:noWrap w:val="0"/>
            <w:vAlign w:val="top"/>
          </w:tcPr>
          <w:p w14:paraId="32B21FFD">
            <w:pPr>
              <w:pStyle w:val="12"/>
              <w:spacing w:before="119"/>
              <w:ind w:left="12"/>
              <w:jc w:val="center"/>
              <w:rPr>
                <w:color w:val="auto"/>
                <w:sz w:val="18"/>
              </w:rPr>
            </w:pPr>
            <w:r>
              <w:rPr>
                <w:color w:val="auto"/>
                <w:sz w:val="18"/>
              </w:rPr>
              <w:t>-</w:t>
            </w:r>
          </w:p>
        </w:tc>
        <w:tc>
          <w:tcPr>
            <w:tcW w:w="902" w:type="dxa"/>
            <w:noWrap w:val="0"/>
            <w:vAlign w:val="top"/>
          </w:tcPr>
          <w:p w14:paraId="26107530">
            <w:pPr>
              <w:pStyle w:val="12"/>
              <w:spacing w:before="119"/>
              <w:ind w:left="279"/>
              <w:rPr>
                <w:color w:val="auto"/>
                <w:sz w:val="18"/>
              </w:rPr>
            </w:pPr>
            <w:r>
              <w:rPr>
                <w:color w:val="auto"/>
                <w:sz w:val="18"/>
              </w:rPr>
              <w:t>必检</w:t>
            </w:r>
          </w:p>
        </w:tc>
      </w:tr>
      <w:tr w14:paraId="79AA1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1FDEA456">
            <w:pPr>
              <w:pStyle w:val="12"/>
              <w:spacing w:before="121"/>
              <w:ind w:left="226"/>
              <w:rPr>
                <w:color w:val="auto"/>
                <w:sz w:val="18"/>
              </w:rPr>
            </w:pPr>
            <w:r>
              <w:rPr>
                <w:color w:val="auto"/>
                <w:sz w:val="18"/>
              </w:rPr>
              <w:t>卫生指标</w:t>
            </w:r>
          </w:p>
        </w:tc>
        <w:tc>
          <w:tcPr>
            <w:tcW w:w="7793" w:type="dxa"/>
            <w:gridSpan w:val="4"/>
            <w:noWrap w:val="0"/>
            <w:vAlign w:val="top"/>
          </w:tcPr>
          <w:p w14:paraId="5F9791FC">
            <w:pPr>
              <w:pStyle w:val="12"/>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5F4A0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8959" w:type="dxa"/>
            <w:gridSpan w:val="5"/>
            <w:noWrap w:val="0"/>
            <w:vAlign w:val="top"/>
          </w:tcPr>
          <w:p w14:paraId="1A76D89B">
            <w:pPr>
              <w:pStyle w:val="12"/>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099DFAC4">
            <w:pPr>
              <w:pStyle w:val="12"/>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4D164E22">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59871300">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6ABA05F2">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22B06AB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val="0"/>
          <w:bCs w:val="0"/>
          <w:sz w:val="24"/>
          <w:szCs w:val="24"/>
        </w:rPr>
        <w:t>包装、运输和储存符合 GB/T 16764-2006中的要求。</w:t>
      </w:r>
    </w:p>
    <w:p w14:paraId="2E55E60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7412A6E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AB6838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AF5F3CD">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14:paraId="0CC0CA8F">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hint="eastAsia" w:ascii="仿宋" w:hAnsi="仿宋" w:eastAsia="仿宋" w:cs="仿宋"/>
          <w:spacing w:val="-11"/>
          <w:sz w:val="44"/>
          <w:szCs w:val="44"/>
          <w:u w:val="single" w:color="auto"/>
          <w:lang w:eastAsia="zh-CN"/>
        </w:rPr>
        <w:t>采购</w:t>
      </w:r>
      <w:r>
        <w:rPr>
          <w:rFonts w:ascii="仿宋" w:hAnsi="仿宋" w:eastAsia="仿宋" w:cs="仿宋"/>
          <w:spacing w:val="-11"/>
          <w:sz w:val="44"/>
          <w:szCs w:val="44"/>
          <w:u w:val="single" w:color="auto"/>
        </w:rPr>
        <w:t>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w:t>
      </w:r>
      <w:r>
        <w:rPr>
          <w:rFonts w:hint="eastAsia" w:ascii="仿宋" w:hAnsi="仿宋" w:eastAsia="仿宋" w:cs="仿宋"/>
          <w:spacing w:val="-9"/>
          <w:sz w:val="24"/>
          <w:szCs w:val="24"/>
          <w:lang w:eastAsia="zh-CN"/>
        </w:rPr>
        <w:t>采购</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（采购</w:t>
      </w:r>
      <w:r>
        <w:rPr>
          <w:rFonts w:ascii="仿宋" w:hAnsi="仿宋" w:eastAsia="仿宋" w:cs="仿宋"/>
          <w:spacing w:val="-9"/>
          <w:sz w:val="24"/>
          <w:szCs w:val="24"/>
        </w:rPr>
        <w:t>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w:t>
      </w:r>
      <w:r>
        <w:rPr>
          <w:rFonts w:hint="eastAsia" w:ascii="仿宋" w:hAnsi="仿宋" w:eastAsia="仿宋" w:cs="仿宋"/>
          <w:spacing w:val="-6"/>
          <w:sz w:val="24"/>
          <w:szCs w:val="24"/>
          <w:lang w:eastAsia="zh-CN"/>
        </w:rPr>
        <w:t>采购</w:t>
      </w:r>
      <w:r>
        <w:rPr>
          <w:rFonts w:ascii="仿宋" w:hAnsi="仿宋" w:eastAsia="仿宋" w:cs="仿宋"/>
          <w:spacing w:val="-6"/>
          <w:sz w:val="24"/>
          <w:szCs w:val="24"/>
        </w:rPr>
        <w:t>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1"/>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hint="eastAsia" w:ascii="仿宋" w:hAnsi="仿宋" w:eastAsia="仿宋" w:cs="仿宋"/>
                <w:spacing w:val="-4"/>
                <w:sz w:val="24"/>
                <w:szCs w:val="24"/>
                <w:lang w:eastAsia="zh-CN"/>
              </w:rPr>
              <w:t>采购</w:t>
            </w:r>
            <w:r>
              <w:rPr>
                <w:rFonts w:ascii="仿宋" w:hAnsi="仿宋" w:eastAsia="仿宋" w:cs="仿宋"/>
                <w:spacing w:val="-3"/>
                <w:sz w:val="24"/>
                <w:szCs w:val="24"/>
              </w:rPr>
              <w:t>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hint="default" w:ascii="Arial" w:eastAsia="宋体"/>
          <w:color w:val="0000FF"/>
          <w:sz w:val="21"/>
          <w:lang w:val="en-US" w:eastAsia="zh-CN"/>
        </w:rPr>
      </w:pPr>
      <w:r>
        <w:rPr>
          <w:rFonts w:hint="eastAsia" w:eastAsia="宋体"/>
          <w:color w:val="0000FF"/>
          <w:sz w:val="21"/>
          <w:lang w:val="en-US" w:eastAsia="zh-CN"/>
        </w:rPr>
        <w:t>备注：本次采购设置第二次报价，第二次报价为最终报价。</w:t>
      </w: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1"/>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2026年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1"/>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5C08F9"/>
    <w:rsid w:val="040C02F2"/>
    <w:rsid w:val="04DE22EF"/>
    <w:rsid w:val="05F10A2B"/>
    <w:rsid w:val="073F4952"/>
    <w:rsid w:val="078925D1"/>
    <w:rsid w:val="0ADC2694"/>
    <w:rsid w:val="0D085104"/>
    <w:rsid w:val="115C1D0D"/>
    <w:rsid w:val="131A3B1D"/>
    <w:rsid w:val="1958496D"/>
    <w:rsid w:val="1D621EBC"/>
    <w:rsid w:val="1DAE66B6"/>
    <w:rsid w:val="20C560FB"/>
    <w:rsid w:val="21F86150"/>
    <w:rsid w:val="22285EF9"/>
    <w:rsid w:val="22887589"/>
    <w:rsid w:val="22C33582"/>
    <w:rsid w:val="23A65B21"/>
    <w:rsid w:val="254A5578"/>
    <w:rsid w:val="26595E1C"/>
    <w:rsid w:val="27073A45"/>
    <w:rsid w:val="2B100A97"/>
    <w:rsid w:val="2C204F9C"/>
    <w:rsid w:val="2F1F675C"/>
    <w:rsid w:val="311410F8"/>
    <w:rsid w:val="34A90430"/>
    <w:rsid w:val="365F7B64"/>
    <w:rsid w:val="37415FD4"/>
    <w:rsid w:val="385C0B47"/>
    <w:rsid w:val="3A1D0D76"/>
    <w:rsid w:val="3B743BE0"/>
    <w:rsid w:val="40081B38"/>
    <w:rsid w:val="42F368F2"/>
    <w:rsid w:val="43881600"/>
    <w:rsid w:val="4445400D"/>
    <w:rsid w:val="44B00A3B"/>
    <w:rsid w:val="47CB7360"/>
    <w:rsid w:val="49ED7575"/>
    <w:rsid w:val="4B4B237E"/>
    <w:rsid w:val="4C83266E"/>
    <w:rsid w:val="53252A3D"/>
    <w:rsid w:val="538C47E6"/>
    <w:rsid w:val="55624B4D"/>
    <w:rsid w:val="55FE2687"/>
    <w:rsid w:val="57FA519D"/>
    <w:rsid w:val="59270DD1"/>
    <w:rsid w:val="5DFD2450"/>
    <w:rsid w:val="5E736FCC"/>
    <w:rsid w:val="5EDF1B01"/>
    <w:rsid w:val="5F0E271E"/>
    <w:rsid w:val="631725C7"/>
    <w:rsid w:val="648E3ABE"/>
    <w:rsid w:val="691D392F"/>
    <w:rsid w:val="707B5D4B"/>
    <w:rsid w:val="72D8479F"/>
    <w:rsid w:val="74CC105E"/>
    <w:rsid w:val="74EC0C5A"/>
    <w:rsid w:val="76C014C1"/>
    <w:rsid w:val="76DD770C"/>
    <w:rsid w:val="773C3348"/>
    <w:rsid w:val="77971F24"/>
    <w:rsid w:val="79862FA6"/>
    <w:rsid w:val="798E69CD"/>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qFormat/>
    <w:uiPriority w:val="0"/>
    <w:pPr>
      <w:spacing w:before="240" w:after="60"/>
      <w:jc w:val="center"/>
      <w:outlineLvl w:val="0"/>
    </w:pPr>
    <w:rPr>
      <w:rFonts w:ascii="Arial" w:hAnsi="Arial"/>
      <w:b/>
      <w:sz w:val="32"/>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Paragraph"/>
    <w:basedOn w:val="1"/>
    <w:autoRedefine/>
    <w:qFormat/>
    <w:uiPriority w:val="1"/>
    <w:rPr>
      <w:rFonts w:ascii="宋体" w:hAnsi="宋体" w:eastAsia="宋体" w:cs="宋体"/>
      <w:lang w:val="zh-CN" w:eastAsia="zh-CN" w:bidi="zh-CN"/>
    </w:rPr>
  </w:style>
  <w:style w:type="paragraph" w:customStyle="1" w:styleId="13">
    <w:name w:val="55550"/>
    <w:basedOn w:val="1"/>
    <w:autoRedefine/>
    <w:qFormat/>
    <w:uiPriority w:val="0"/>
    <w:pPr>
      <w:jc w:val="center"/>
    </w:pPr>
    <w:rPr>
      <w:rFonts w:cs="Times New Roman"/>
      <w:szCs w:val="22"/>
    </w:rPr>
  </w:style>
  <w:style w:type="paragraph" w:customStyle="1" w:styleId="14">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1932</Words>
  <Characters>2184</Characters>
  <TotalTime>3</TotalTime>
  <ScaleCrop>false</ScaleCrop>
  <LinksUpToDate>false</LinksUpToDate>
  <CharactersWithSpaces>3424</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2026-01-26T02:08:08Z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2052-12.1.0.24657</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