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294吨阴离子盐采购</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QJKJ-CG-YLZY-20260127</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294吨阴离子盐采购</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294吨阴离子盐采购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2 7</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账期90天（到货验收合格入库，发票挂帐日期为准开始计算账期）</w:t>
            </w:r>
            <w:bookmarkStart w:id="0" w:name="_GoBack"/>
            <w:bookmarkEnd w:id="0"/>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9D2D64B">
      <w:pPr>
        <w:pStyle w:val="14"/>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1</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范围</w:t>
      </w:r>
    </w:p>
    <w:p w14:paraId="6A1DD17D">
      <w:pPr>
        <w:pStyle w:val="14"/>
        <w:spacing w:line="360" w:lineRule="auto"/>
        <w:ind w:left="315" w:leftChars="150" w:firstLine="0" w:firstLineChars="0"/>
        <w:rPr>
          <w:rFonts w:hint="eastAsia" w:ascii="仿宋" w:hAnsi="仿宋" w:eastAsia="仿宋" w:cs="仿宋"/>
          <w:kern w:val="2"/>
          <w:sz w:val="24"/>
          <w:szCs w:val="24"/>
        </w:rPr>
      </w:pPr>
      <w:r>
        <w:rPr>
          <w:rFonts w:hint="eastAsia" w:ascii="仿宋" w:hAnsi="仿宋" w:eastAsia="仿宋" w:cs="仿宋"/>
          <w:kern w:val="2"/>
          <w:sz w:val="24"/>
          <w:szCs w:val="24"/>
        </w:rPr>
        <w:t>本标准规定了阴离子盐的技术要求。</w:t>
      </w:r>
    </w:p>
    <w:p w14:paraId="16AB1475">
      <w:pPr>
        <w:pStyle w:val="14"/>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2</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产品感官</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7"/>
      </w:tblGrid>
      <w:tr w14:paraId="69BB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6DAE477C">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项  目</w:t>
            </w:r>
          </w:p>
        </w:tc>
        <w:tc>
          <w:tcPr>
            <w:tcW w:w="6647" w:type="dxa"/>
            <w:tcBorders>
              <w:top w:val="single" w:color="auto" w:sz="4" w:space="0"/>
              <w:left w:val="single" w:color="auto" w:sz="4" w:space="0"/>
              <w:bottom w:val="single" w:color="auto" w:sz="4" w:space="0"/>
              <w:right w:val="single" w:color="auto" w:sz="4" w:space="0"/>
            </w:tcBorders>
            <w:vAlign w:val="center"/>
          </w:tcPr>
          <w:p w14:paraId="4874F711">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标  准</w:t>
            </w:r>
          </w:p>
        </w:tc>
      </w:tr>
      <w:tr w14:paraId="5900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31945355">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气味</w:t>
            </w:r>
          </w:p>
        </w:tc>
        <w:tc>
          <w:tcPr>
            <w:tcW w:w="6647" w:type="dxa"/>
            <w:tcBorders>
              <w:top w:val="single" w:color="auto" w:sz="4" w:space="0"/>
              <w:left w:val="single" w:color="auto" w:sz="4" w:space="0"/>
              <w:bottom w:val="single" w:color="auto" w:sz="4" w:space="0"/>
              <w:right w:val="single" w:color="auto" w:sz="4" w:space="0"/>
            </w:tcBorders>
            <w:vAlign w:val="center"/>
          </w:tcPr>
          <w:p w14:paraId="227EE2E0">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有咸味</w:t>
            </w:r>
          </w:p>
        </w:tc>
      </w:tr>
      <w:tr w14:paraId="647B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4A9E4E47">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颜色</w:t>
            </w:r>
          </w:p>
        </w:tc>
        <w:tc>
          <w:tcPr>
            <w:tcW w:w="6647" w:type="dxa"/>
            <w:tcBorders>
              <w:top w:val="single" w:color="auto" w:sz="4" w:space="0"/>
              <w:left w:val="single" w:color="auto" w:sz="4" w:space="0"/>
              <w:bottom w:val="single" w:color="auto" w:sz="4" w:space="0"/>
              <w:right w:val="single" w:color="auto" w:sz="4" w:space="0"/>
            </w:tcBorders>
            <w:vAlign w:val="center"/>
          </w:tcPr>
          <w:p w14:paraId="4BC0B2FC">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灰白色粉末，有细的颗粒，呈半透明状</w:t>
            </w:r>
          </w:p>
        </w:tc>
      </w:tr>
      <w:tr w14:paraId="31D0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7A432630">
            <w:pPr>
              <w:pStyle w:val="13"/>
              <w:spacing w:line="360" w:lineRule="auto"/>
              <w:rPr>
                <w:rFonts w:hint="eastAsia" w:ascii="仿宋" w:hAnsi="仿宋" w:eastAsia="仿宋" w:cs="仿宋"/>
                <w:sz w:val="24"/>
                <w:szCs w:val="24"/>
              </w:rPr>
            </w:pPr>
            <w:r>
              <w:rPr>
                <w:rFonts w:hint="eastAsia" w:ascii="仿宋" w:hAnsi="仿宋" w:eastAsia="仿宋" w:cs="仿宋"/>
                <w:sz w:val="24"/>
                <w:szCs w:val="24"/>
              </w:rPr>
              <w:t>组织状态</w:t>
            </w:r>
          </w:p>
        </w:tc>
        <w:tc>
          <w:tcPr>
            <w:tcW w:w="6647" w:type="dxa"/>
            <w:tcBorders>
              <w:top w:val="single" w:color="auto" w:sz="4" w:space="0"/>
              <w:left w:val="single" w:color="auto" w:sz="4" w:space="0"/>
              <w:bottom w:val="single" w:color="auto" w:sz="4" w:space="0"/>
              <w:right w:val="single" w:color="auto" w:sz="4" w:space="0"/>
            </w:tcBorders>
            <w:vAlign w:val="center"/>
          </w:tcPr>
          <w:p w14:paraId="1F85A16F">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呈粉末状、小颗粒状的固体</w:t>
            </w:r>
          </w:p>
        </w:tc>
      </w:tr>
    </w:tbl>
    <w:p w14:paraId="2D09CD64">
      <w:pPr>
        <w:pStyle w:val="14"/>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3</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理化指标</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8"/>
        <w:gridCol w:w="3022"/>
      </w:tblGrid>
      <w:tr w14:paraId="5408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0BC8535D">
            <w:pPr>
              <w:pStyle w:val="13"/>
              <w:spacing w:line="360" w:lineRule="auto"/>
              <w:rPr>
                <w:rFonts w:hint="eastAsia" w:ascii="仿宋" w:hAnsi="仿宋" w:eastAsia="仿宋" w:cs="仿宋"/>
                <w:sz w:val="24"/>
                <w:szCs w:val="24"/>
              </w:rPr>
            </w:pPr>
            <w:r>
              <w:rPr>
                <w:rFonts w:hint="eastAsia" w:ascii="仿宋" w:hAnsi="仿宋" w:eastAsia="仿宋" w:cs="仿宋"/>
                <w:sz w:val="24"/>
                <w:szCs w:val="24"/>
              </w:rPr>
              <w:t xml:space="preserve"> 项          目</w:t>
            </w:r>
          </w:p>
        </w:tc>
        <w:tc>
          <w:tcPr>
            <w:tcW w:w="3022" w:type="dxa"/>
            <w:tcBorders>
              <w:top w:val="single" w:color="auto" w:sz="4" w:space="0"/>
              <w:left w:val="single" w:color="auto" w:sz="4" w:space="0"/>
              <w:bottom w:val="single" w:color="auto" w:sz="4" w:space="0"/>
              <w:right w:val="single" w:color="auto" w:sz="4" w:space="0"/>
            </w:tcBorders>
            <w:vAlign w:val="center"/>
          </w:tcPr>
          <w:p w14:paraId="4352853E">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指标</w:t>
            </w:r>
          </w:p>
        </w:tc>
      </w:tr>
      <w:tr w14:paraId="644A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7F01C6FF">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水分/</w:t>
            </w:r>
            <w:r>
              <w:rPr>
                <w:rFonts w:hint="eastAsia" w:ascii="仿宋" w:hAnsi="仿宋" w:eastAsia="仿宋" w:cs="仿宋"/>
                <w:color w:val="000000"/>
                <w:kern w:val="0"/>
                <w:sz w:val="24"/>
                <w:szCs w:val="24"/>
                <w:lang w:bidi="ar"/>
              </w:rPr>
              <w:t xml:space="preserve">（%）                 </w:t>
            </w:r>
            <w:r>
              <w:rPr>
                <w:rFonts w:hint="eastAsia" w:ascii="仿宋" w:hAnsi="仿宋" w:eastAsia="仿宋" w:cs="仿宋"/>
                <w:sz w:val="24"/>
                <w:szCs w:val="24"/>
              </w:rPr>
              <w:t xml:space="preserve">               ≤</w:t>
            </w:r>
          </w:p>
        </w:tc>
        <w:tc>
          <w:tcPr>
            <w:tcW w:w="3022" w:type="dxa"/>
            <w:tcBorders>
              <w:top w:val="single" w:color="auto" w:sz="4" w:space="0"/>
              <w:left w:val="single" w:color="auto" w:sz="4" w:space="0"/>
              <w:bottom w:val="single" w:color="auto" w:sz="4" w:space="0"/>
              <w:right w:val="single" w:color="auto" w:sz="4" w:space="0"/>
            </w:tcBorders>
            <w:vAlign w:val="center"/>
          </w:tcPr>
          <w:p w14:paraId="7AF4FF38">
            <w:pPr>
              <w:pStyle w:val="13"/>
              <w:spacing w:line="360" w:lineRule="auto"/>
              <w:rPr>
                <w:rFonts w:hint="eastAsia" w:ascii="仿宋" w:hAnsi="仿宋" w:eastAsia="仿宋" w:cs="仿宋"/>
                <w:sz w:val="24"/>
                <w:szCs w:val="24"/>
              </w:rPr>
            </w:pPr>
            <w:r>
              <w:rPr>
                <w:rFonts w:hint="eastAsia" w:ascii="仿宋" w:hAnsi="仿宋" w:eastAsia="仿宋" w:cs="仿宋"/>
                <w:sz w:val="24"/>
                <w:szCs w:val="24"/>
              </w:rPr>
              <w:t>10</w:t>
            </w:r>
          </w:p>
        </w:tc>
      </w:tr>
      <w:tr w14:paraId="64C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5CE28E35">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氯（以Cl计）/（%）                       ≥</w:t>
            </w:r>
          </w:p>
        </w:tc>
        <w:tc>
          <w:tcPr>
            <w:tcW w:w="3022" w:type="dxa"/>
            <w:tcBorders>
              <w:top w:val="single" w:color="auto" w:sz="4" w:space="0"/>
              <w:left w:val="single" w:color="auto" w:sz="4" w:space="0"/>
              <w:bottom w:val="single" w:color="auto" w:sz="4" w:space="0"/>
              <w:right w:val="single" w:color="auto" w:sz="4" w:space="0"/>
            </w:tcBorders>
            <w:vAlign w:val="center"/>
          </w:tcPr>
          <w:p w14:paraId="56155106">
            <w:pPr>
              <w:pStyle w:val="13"/>
              <w:spacing w:line="360" w:lineRule="auto"/>
              <w:rPr>
                <w:rFonts w:hint="eastAsia" w:ascii="仿宋" w:hAnsi="仿宋" w:eastAsia="仿宋" w:cs="仿宋"/>
                <w:sz w:val="24"/>
                <w:szCs w:val="24"/>
              </w:rPr>
            </w:pPr>
            <w:r>
              <w:rPr>
                <w:rFonts w:hint="eastAsia" w:ascii="仿宋" w:hAnsi="仿宋" w:eastAsia="仿宋" w:cs="仿宋"/>
                <w:sz w:val="24"/>
                <w:szCs w:val="24"/>
              </w:rPr>
              <w:t>15</w:t>
            </w:r>
          </w:p>
        </w:tc>
      </w:tr>
      <w:tr w14:paraId="13F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2F3A615A">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硫（以S计）/（%）                        ≥</w:t>
            </w:r>
          </w:p>
        </w:tc>
        <w:tc>
          <w:tcPr>
            <w:tcW w:w="3022" w:type="dxa"/>
            <w:tcBorders>
              <w:top w:val="single" w:color="auto" w:sz="4" w:space="0"/>
              <w:left w:val="single" w:color="auto" w:sz="4" w:space="0"/>
              <w:bottom w:val="single" w:color="auto" w:sz="4" w:space="0"/>
              <w:right w:val="single" w:color="auto" w:sz="4" w:space="0"/>
            </w:tcBorders>
            <w:vAlign w:val="center"/>
          </w:tcPr>
          <w:p w14:paraId="28785A40">
            <w:pPr>
              <w:pStyle w:val="13"/>
              <w:spacing w:line="360" w:lineRule="auto"/>
              <w:rPr>
                <w:rFonts w:hint="eastAsia" w:ascii="仿宋" w:hAnsi="仿宋" w:eastAsia="仿宋" w:cs="仿宋"/>
                <w:sz w:val="24"/>
                <w:szCs w:val="24"/>
              </w:rPr>
            </w:pPr>
            <w:r>
              <w:rPr>
                <w:rFonts w:hint="eastAsia" w:ascii="仿宋" w:hAnsi="仿宋" w:eastAsia="仿宋" w:cs="仿宋"/>
                <w:sz w:val="24"/>
                <w:szCs w:val="24"/>
              </w:rPr>
              <w:t>1</w:t>
            </w:r>
          </w:p>
        </w:tc>
      </w:tr>
      <w:tr w14:paraId="6073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7A49C87C">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钠（Na）/（%）                            ≤</w:t>
            </w:r>
          </w:p>
        </w:tc>
        <w:tc>
          <w:tcPr>
            <w:tcW w:w="3022" w:type="dxa"/>
            <w:tcBorders>
              <w:top w:val="single" w:color="auto" w:sz="4" w:space="0"/>
              <w:left w:val="single" w:color="auto" w:sz="4" w:space="0"/>
              <w:bottom w:val="single" w:color="auto" w:sz="4" w:space="0"/>
              <w:right w:val="single" w:color="auto" w:sz="4" w:space="0"/>
            </w:tcBorders>
            <w:vAlign w:val="center"/>
          </w:tcPr>
          <w:p w14:paraId="26742875">
            <w:pPr>
              <w:pStyle w:val="13"/>
              <w:spacing w:line="360" w:lineRule="auto"/>
              <w:rPr>
                <w:rFonts w:hint="eastAsia" w:ascii="仿宋" w:hAnsi="仿宋" w:eastAsia="仿宋" w:cs="仿宋"/>
                <w:sz w:val="24"/>
                <w:szCs w:val="24"/>
              </w:rPr>
            </w:pPr>
            <w:r>
              <w:rPr>
                <w:rFonts w:hint="eastAsia" w:ascii="仿宋" w:hAnsi="仿宋" w:eastAsia="仿宋" w:cs="仿宋"/>
                <w:sz w:val="24"/>
                <w:szCs w:val="24"/>
              </w:rPr>
              <w:t>0.5</w:t>
            </w:r>
          </w:p>
        </w:tc>
      </w:tr>
      <w:tr w14:paraId="5797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05F0BDC0">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钾（K）/（%）                             ≤</w:t>
            </w:r>
          </w:p>
        </w:tc>
        <w:tc>
          <w:tcPr>
            <w:tcW w:w="3022" w:type="dxa"/>
            <w:tcBorders>
              <w:top w:val="single" w:color="auto" w:sz="4" w:space="0"/>
              <w:left w:val="single" w:color="auto" w:sz="4" w:space="0"/>
              <w:bottom w:val="single" w:color="auto" w:sz="4" w:space="0"/>
              <w:right w:val="single" w:color="auto" w:sz="4" w:space="0"/>
            </w:tcBorders>
            <w:vAlign w:val="center"/>
          </w:tcPr>
          <w:p w14:paraId="7DADF48B">
            <w:pPr>
              <w:pStyle w:val="13"/>
              <w:spacing w:line="360" w:lineRule="auto"/>
              <w:rPr>
                <w:rFonts w:hint="eastAsia" w:ascii="仿宋" w:hAnsi="仿宋" w:eastAsia="仿宋" w:cs="仿宋"/>
                <w:sz w:val="24"/>
                <w:szCs w:val="24"/>
              </w:rPr>
            </w:pPr>
            <w:r>
              <w:rPr>
                <w:rFonts w:hint="eastAsia" w:ascii="仿宋" w:hAnsi="仿宋" w:eastAsia="仿宋" w:cs="仿宋"/>
                <w:sz w:val="24"/>
                <w:szCs w:val="24"/>
              </w:rPr>
              <w:t>0.5</w:t>
            </w:r>
          </w:p>
        </w:tc>
      </w:tr>
      <w:tr w14:paraId="206A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6817BA1D">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DCAD/（mmol/100g）                        ＜</w:t>
            </w:r>
          </w:p>
        </w:tc>
        <w:tc>
          <w:tcPr>
            <w:tcW w:w="3022" w:type="dxa"/>
            <w:tcBorders>
              <w:top w:val="single" w:color="auto" w:sz="4" w:space="0"/>
              <w:left w:val="single" w:color="auto" w:sz="4" w:space="0"/>
              <w:bottom w:val="single" w:color="auto" w:sz="4" w:space="0"/>
              <w:right w:val="single" w:color="auto" w:sz="4" w:space="0"/>
            </w:tcBorders>
            <w:vAlign w:val="center"/>
          </w:tcPr>
          <w:p w14:paraId="3EE72971">
            <w:pPr>
              <w:pStyle w:val="13"/>
              <w:spacing w:line="360" w:lineRule="auto"/>
              <w:rPr>
                <w:rFonts w:hint="eastAsia" w:ascii="仿宋" w:hAnsi="仿宋" w:eastAsia="仿宋" w:cs="仿宋"/>
                <w:sz w:val="24"/>
                <w:szCs w:val="24"/>
              </w:rPr>
            </w:pPr>
            <w:r>
              <w:rPr>
                <w:rFonts w:hint="eastAsia" w:ascii="仿宋" w:hAnsi="仿宋" w:eastAsia="仿宋" w:cs="仿宋"/>
                <w:sz w:val="24"/>
                <w:szCs w:val="24"/>
              </w:rPr>
              <w:t>-560</w:t>
            </w:r>
          </w:p>
        </w:tc>
      </w:tr>
      <w:tr w14:paraId="44EC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776439CF">
            <w:pPr>
              <w:pStyle w:val="13"/>
              <w:spacing w:line="360" w:lineRule="auto"/>
              <w:jc w:val="both"/>
              <w:rPr>
                <w:rFonts w:hint="eastAsia" w:ascii="仿宋" w:hAnsi="仿宋" w:eastAsia="仿宋" w:cs="仿宋"/>
                <w:sz w:val="24"/>
                <w:szCs w:val="24"/>
              </w:rPr>
            </w:pPr>
            <w:r>
              <w:rPr>
                <w:rFonts w:hint="eastAsia" w:ascii="仿宋" w:hAnsi="仿宋" w:eastAsia="仿宋" w:cs="仿宋"/>
                <w:sz w:val="24"/>
                <w:szCs w:val="24"/>
              </w:rPr>
              <w:t>DCAD/（mmol/kgDM)=[Na%/0.0023)+(K%/0.0039)]-[Cl%/0.00355+S%/0.0016)]</w:t>
            </w:r>
          </w:p>
        </w:tc>
      </w:tr>
    </w:tbl>
    <w:p w14:paraId="429EBEFD">
      <w:pPr>
        <w:pStyle w:val="14"/>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4  卫生指标</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3"/>
        <w:gridCol w:w="3637"/>
      </w:tblGrid>
      <w:tr w14:paraId="3FB3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1BC7087F">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项  目</w:t>
            </w:r>
          </w:p>
        </w:tc>
        <w:tc>
          <w:tcPr>
            <w:tcW w:w="3638" w:type="dxa"/>
            <w:tcBorders>
              <w:top w:val="single" w:color="auto" w:sz="4" w:space="0"/>
              <w:left w:val="single" w:color="auto" w:sz="4" w:space="0"/>
              <w:bottom w:val="single" w:color="auto" w:sz="4" w:space="0"/>
              <w:right w:val="single" w:color="auto" w:sz="4" w:space="0"/>
            </w:tcBorders>
            <w:vAlign w:val="center"/>
          </w:tcPr>
          <w:p w14:paraId="301831D4">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标  准</w:t>
            </w:r>
          </w:p>
        </w:tc>
      </w:tr>
      <w:tr w14:paraId="3D52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20ADDB93">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黄曲霉毒素B1/（µg/kg）              ≤</w:t>
            </w:r>
          </w:p>
        </w:tc>
        <w:tc>
          <w:tcPr>
            <w:tcW w:w="3638" w:type="dxa"/>
            <w:tcBorders>
              <w:top w:val="single" w:color="auto" w:sz="4" w:space="0"/>
              <w:left w:val="single" w:color="auto" w:sz="4" w:space="0"/>
              <w:bottom w:val="single" w:color="auto" w:sz="4" w:space="0"/>
              <w:right w:val="single" w:color="auto" w:sz="4" w:space="0"/>
            </w:tcBorders>
            <w:vAlign w:val="center"/>
          </w:tcPr>
          <w:p w14:paraId="2EADFFB8">
            <w:pPr>
              <w:pStyle w:val="13"/>
              <w:spacing w:line="360" w:lineRule="auto"/>
              <w:rPr>
                <w:rFonts w:hint="eastAsia" w:ascii="仿宋" w:hAnsi="仿宋" w:eastAsia="仿宋" w:cs="仿宋"/>
                <w:sz w:val="24"/>
                <w:szCs w:val="24"/>
              </w:rPr>
            </w:pPr>
            <w:r>
              <w:rPr>
                <w:rFonts w:hint="eastAsia" w:ascii="仿宋" w:hAnsi="仿宋" w:eastAsia="仿宋" w:cs="仿宋"/>
                <w:sz w:val="24"/>
                <w:szCs w:val="24"/>
              </w:rPr>
              <w:t>10</w:t>
            </w:r>
          </w:p>
        </w:tc>
      </w:tr>
      <w:tr w14:paraId="4AB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7E5D561B">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三聚氰胺</w:t>
            </w:r>
          </w:p>
        </w:tc>
        <w:tc>
          <w:tcPr>
            <w:tcW w:w="3638" w:type="dxa"/>
            <w:tcBorders>
              <w:top w:val="single" w:color="auto" w:sz="4" w:space="0"/>
              <w:left w:val="single" w:color="auto" w:sz="4" w:space="0"/>
              <w:bottom w:val="single" w:color="auto" w:sz="4" w:space="0"/>
              <w:right w:val="single" w:color="auto" w:sz="4" w:space="0"/>
            </w:tcBorders>
          </w:tcPr>
          <w:p w14:paraId="12B23F04">
            <w:pPr>
              <w:pStyle w:val="13"/>
              <w:spacing w:line="360" w:lineRule="auto"/>
              <w:rPr>
                <w:rFonts w:hint="eastAsia" w:ascii="仿宋" w:hAnsi="仿宋" w:eastAsia="仿宋" w:cs="仿宋"/>
                <w:sz w:val="24"/>
                <w:szCs w:val="24"/>
              </w:rPr>
            </w:pPr>
            <w:r>
              <w:rPr>
                <w:rFonts w:hint="eastAsia" w:ascii="仿宋" w:hAnsi="仿宋" w:eastAsia="仿宋" w:cs="仿宋"/>
                <w:sz w:val="24"/>
                <w:szCs w:val="24"/>
              </w:rPr>
              <w:t>不得检出</w:t>
            </w:r>
          </w:p>
        </w:tc>
      </w:tr>
      <w:tr w14:paraId="3B2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84" w:type="dxa"/>
            <w:tcBorders>
              <w:top w:val="single" w:color="auto" w:sz="4" w:space="0"/>
              <w:left w:val="single" w:color="auto" w:sz="4" w:space="0"/>
              <w:bottom w:val="single" w:color="auto" w:sz="4" w:space="0"/>
              <w:right w:val="single" w:color="auto" w:sz="4" w:space="0"/>
            </w:tcBorders>
          </w:tcPr>
          <w:p w14:paraId="5D8AA4A5">
            <w:pPr>
              <w:pStyle w:val="13"/>
              <w:spacing w:line="360" w:lineRule="auto"/>
              <w:rPr>
                <w:rFonts w:hint="eastAsia" w:ascii="仿宋" w:hAnsi="仿宋" w:eastAsia="仿宋" w:cs="仿宋"/>
                <w:sz w:val="24"/>
                <w:szCs w:val="24"/>
              </w:rPr>
            </w:pPr>
            <w:r>
              <w:rPr>
                <w:rFonts w:hint="eastAsia" w:ascii="仿宋" w:hAnsi="仿宋" w:eastAsia="仿宋" w:cs="仿宋"/>
                <w:sz w:val="24"/>
                <w:szCs w:val="24"/>
              </w:rPr>
              <w:t>砷（以AS计）/mg/Kg                 ≤</w:t>
            </w:r>
          </w:p>
        </w:tc>
        <w:tc>
          <w:tcPr>
            <w:tcW w:w="3638" w:type="dxa"/>
            <w:tcBorders>
              <w:top w:val="single" w:color="auto" w:sz="4" w:space="0"/>
              <w:left w:val="single" w:color="auto" w:sz="4" w:space="0"/>
              <w:bottom w:val="single" w:color="auto" w:sz="4" w:space="0"/>
              <w:right w:val="single" w:color="auto" w:sz="4" w:space="0"/>
            </w:tcBorders>
          </w:tcPr>
          <w:p w14:paraId="47868E47">
            <w:pPr>
              <w:pStyle w:val="13"/>
              <w:spacing w:line="360" w:lineRule="auto"/>
              <w:rPr>
                <w:rFonts w:hint="eastAsia" w:ascii="仿宋" w:hAnsi="仿宋" w:eastAsia="仿宋" w:cs="仿宋"/>
                <w:sz w:val="24"/>
                <w:szCs w:val="24"/>
              </w:rPr>
            </w:pPr>
            <w:r>
              <w:rPr>
                <w:rFonts w:hint="eastAsia" w:ascii="仿宋" w:hAnsi="仿宋" w:eastAsia="仿宋" w:cs="仿宋"/>
                <w:sz w:val="24"/>
                <w:szCs w:val="24"/>
              </w:rPr>
              <w:t>5</w:t>
            </w:r>
          </w:p>
        </w:tc>
      </w:tr>
      <w:tr w14:paraId="11F1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4" w:type="dxa"/>
            <w:tcBorders>
              <w:top w:val="single" w:color="auto" w:sz="4" w:space="0"/>
              <w:left w:val="single" w:color="auto" w:sz="4" w:space="0"/>
              <w:bottom w:val="single" w:color="auto" w:sz="4" w:space="0"/>
              <w:right w:val="single" w:color="auto" w:sz="4" w:space="0"/>
            </w:tcBorders>
          </w:tcPr>
          <w:p w14:paraId="5415FDEF">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铅（以Pb）/mg/Kg                    ≤</w:t>
            </w:r>
          </w:p>
        </w:tc>
        <w:tc>
          <w:tcPr>
            <w:tcW w:w="3638" w:type="dxa"/>
            <w:tcBorders>
              <w:top w:val="single" w:color="auto" w:sz="4" w:space="0"/>
              <w:left w:val="single" w:color="auto" w:sz="4" w:space="0"/>
              <w:bottom w:val="single" w:color="auto" w:sz="4" w:space="0"/>
              <w:right w:val="single" w:color="auto" w:sz="4" w:space="0"/>
            </w:tcBorders>
          </w:tcPr>
          <w:p w14:paraId="6AC0F60F">
            <w:pPr>
              <w:pStyle w:val="13"/>
              <w:spacing w:line="360" w:lineRule="auto"/>
              <w:rPr>
                <w:rFonts w:hint="eastAsia" w:ascii="仿宋" w:hAnsi="仿宋" w:eastAsia="仿宋" w:cs="仿宋"/>
                <w:sz w:val="24"/>
                <w:szCs w:val="24"/>
              </w:rPr>
            </w:pPr>
            <w:r>
              <w:rPr>
                <w:rFonts w:hint="eastAsia" w:ascii="仿宋" w:hAnsi="仿宋" w:eastAsia="仿宋" w:cs="仿宋"/>
                <w:sz w:val="24"/>
                <w:szCs w:val="24"/>
              </w:rPr>
              <w:t>8</w:t>
            </w:r>
          </w:p>
        </w:tc>
      </w:tr>
    </w:tbl>
    <w:p w14:paraId="2E55E60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412A6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AB6838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F5F3C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0CC0CA8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hint="default" w:ascii="Arial" w:eastAsia="宋体"/>
          <w:color w:val="0000FF"/>
          <w:sz w:val="21"/>
          <w:lang w:val="en-US" w:eastAsia="zh-CN"/>
        </w:rPr>
      </w:pPr>
      <w:r>
        <w:rPr>
          <w:rFonts w:hint="eastAsia" w:eastAsia="宋体"/>
          <w:color w:val="0000FF"/>
          <w:sz w:val="21"/>
          <w:lang w:val="en-US" w:eastAsia="zh-CN"/>
        </w:rPr>
        <w:t>备注：本次采购设置第二次报价，第二次报价为最终报价。</w:t>
      </w: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285EF9"/>
    <w:rsid w:val="22887589"/>
    <w:rsid w:val="22C33582"/>
    <w:rsid w:val="23A65B21"/>
    <w:rsid w:val="254A5578"/>
    <w:rsid w:val="26595E1C"/>
    <w:rsid w:val="27073A45"/>
    <w:rsid w:val="2B100A97"/>
    <w:rsid w:val="2C204F9C"/>
    <w:rsid w:val="2F1F675C"/>
    <w:rsid w:val="311410F8"/>
    <w:rsid w:val="34A90430"/>
    <w:rsid w:val="365F7B64"/>
    <w:rsid w:val="37415FD4"/>
    <w:rsid w:val="385C0B47"/>
    <w:rsid w:val="3A1D0D76"/>
    <w:rsid w:val="3B743BE0"/>
    <w:rsid w:val="40081B38"/>
    <w:rsid w:val="42F368F2"/>
    <w:rsid w:val="43881600"/>
    <w:rsid w:val="4445400D"/>
    <w:rsid w:val="44B00A3B"/>
    <w:rsid w:val="47CB7360"/>
    <w:rsid w:val="49ED7575"/>
    <w:rsid w:val="4B4B237E"/>
    <w:rsid w:val="4C83266E"/>
    <w:rsid w:val="53252A3D"/>
    <w:rsid w:val="538C47E6"/>
    <w:rsid w:val="55624B4D"/>
    <w:rsid w:val="55FE2687"/>
    <w:rsid w:val="57FA519D"/>
    <w:rsid w:val="59270DD1"/>
    <w:rsid w:val="5DFD2450"/>
    <w:rsid w:val="5E736FCC"/>
    <w:rsid w:val="5EDF1B01"/>
    <w:rsid w:val="5F0E271E"/>
    <w:rsid w:val="631725C7"/>
    <w:rsid w:val="648E3ABE"/>
    <w:rsid w:val="691D392F"/>
    <w:rsid w:val="707B5D4B"/>
    <w:rsid w:val="72D8479F"/>
    <w:rsid w:val="74CC105E"/>
    <w:rsid w:val="74EC0C5A"/>
    <w:rsid w:val="76C014C1"/>
    <w:rsid w:val="76DD770C"/>
    <w:rsid w:val="773C3348"/>
    <w:rsid w:val="79862FA6"/>
    <w:rsid w:val="798E69CD"/>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1908</Words>
  <Characters>2160</Characters>
  <TotalTime>0</TotalTime>
  <ScaleCrop>false</ScaleCrop>
  <LinksUpToDate>false</LinksUpToDate>
  <CharactersWithSpaces>3400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2026-01-22T08:34:14Z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